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44F" w:rsidRDefault="007E2915">
      <w:pPr>
        <w:rPr>
          <w:rFonts w:ascii="Georgia" w:hAnsi="Georgia"/>
          <w:color w:val="242729"/>
          <w:sz w:val="23"/>
          <w:szCs w:val="23"/>
          <w:shd w:val="clear" w:color="auto" w:fill="FFFFFF"/>
        </w:rPr>
      </w:pPr>
      <w:r>
        <w:rPr>
          <w:rFonts w:ascii="Georgia" w:hAnsi="Georgia"/>
          <w:color w:val="242729"/>
          <w:sz w:val="23"/>
          <w:szCs w:val="23"/>
          <w:shd w:val="clear" w:color="auto" w:fill="FFFFFF"/>
        </w:rPr>
        <w:t>A vertical asymptote occurs at a point where the value of the function approaches </w:t>
      </w:r>
      <w:r>
        <w:rPr>
          <w:rStyle w:val="mi"/>
          <w:rFonts w:ascii="MathJax_Main" w:hAnsi="MathJax_Main"/>
          <w:color w:val="242729"/>
          <w:sz w:val="26"/>
          <w:szCs w:val="26"/>
          <w:bdr w:val="none" w:sz="0" w:space="0" w:color="auto" w:frame="1"/>
          <w:shd w:val="clear" w:color="auto" w:fill="FFFFFF"/>
        </w:rPr>
        <w:t>∞</w:t>
      </w:r>
      <w:r>
        <w:rPr>
          <w:rStyle w:val="mjxassistivemathml"/>
          <w:rFonts w:ascii="inherit" w:hAnsi="inherit"/>
          <w:color w:val="242729"/>
          <w:sz w:val="23"/>
          <w:szCs w:val="23"/>
          <w:bdr w:val="none" w:sz="0" w:space="0" w:color="auto" w:frame="1"/>
          <w:shd w:val="clear" w:color="auto" w:fill="FFFFFF"/>
        </w:rPr>
        <w:t>∞</w:t>
      </w:r>
      <w:r>
        <w:rPr>
          <w:rFonts w:ascii="Georgia" w:hAnsi="Georgia"/>
          <w:color w:val="242729"/>
          <w:sz w:val="23"/>
          <w:szCs w:val="23"/>
          <w:shd w:val="clear" w:color="auto" w:fill="FFFFFF"/>
        </w:rPr>
        <w:t> or </w:t>
      </w:r>
      <w:r>
        <w:rPr>
          <w:rStyle w:val="mo"/>
          <w:rFonts w:ascii="MathJax_Main" w:hAnsi="MathJax_Main"/>
          <w:color w:val="242729"/>
          <w:sz w:val="26"/>
          <w:szCs w:val="26"/>
          <w:bdr w:val="none" w:sz="0" w:space="0" w:color="auto" w:frame="1"/>
          <w:shd w:val="clear" w:color="auto" w:fill="FFFFFF"/>
        </w:rPr>
        <w:t>−</w:t>
      </w:r>
      <w:r>
        <w:rPr>
          <w:rStyle w:val="mi"/>
          <w:rFonts w:ascii="MathJax_Main" w:hAnsi="MathJax_Main"/>
          <w:color w:val="242729"/>
          <w:sz w:val="26"/>
          <w:szCs w:val="26"/>
          <w:bdr w:val="none" w:sz="0" w:space="0" w:color="auto" w:frame="1"/>
          <w:shd w:val="clear" w:color="auto" w:fill="FFFFFF"/>
        </w:rPr>
        <w:t>∞</w:t>
      </w:r>
      <w:r>
        <w:rPr>
          <w:rStyle w:val="mjxassistivemathml"/>
          <w:rFonts w:ascii="inherit" w:hAnsi="inherit"/>
          <w:color w:val="242729"/>
          <w:sz w:val="23"/>
          <w:szCs w:val="23"/>
          <w:bdr w:val="none" w:sz="0" w:space="0" w:color="auto" w:frame="1"/>
          <w:shd w:val="clear" w:color="auto" w:fill="FFFFFF"/>
        </w:rPr>
        <w:t>−∞</w:t>
      </w:r>
      <w:r>
        <w:rPr>
          <w:rFonts w:ascii="Georgia" w:hAnsi="Georgia"/>
          <w:color w:val="242729"/>
          <w:sz w:val="23"/>
          <w:szCs w:val="23"/>
          <w:shd w:val="clear" w:color="auto" w:fill="FFFFFF"/>
        </w:rPr>
        <w:t>. At a "hole" it doesn't do that. Some points where the numerator and denominator are both </w:t>
      </w:r>
      <w:r>
        <w:rPr>
          <w:rStyle w:val="mn"/>
          <w:rFonts w:ascii="MathJax_Main" w:hAnsi="MathJax_Main"/>
          <w:color w:val="242729"/>
          <w:sz w:val="26"/>
          <w:szCs w:val="26"/>
          <w:bdr w:val="none" w:sz="0" w:space="0" w:color="auto" w:frame="1"/>
          <w:shd w:val="clear" w:color="auto" w:fill="FFFFFF"/>
        </w:rPr>
        <w:t>0</w:t>
      </w:r>
      <w:r>
        <w:rPr>
          <w:rStyle w:val="mjxassistivemathml"/>
          <w:rFonts w:ascii="inherit" w:hAnsi="inherit"/>
          <w:color w:val="242729"/>
          <w:sz w:val="23"/>
          <w:szCs w:val="23"/>
          <w:bdr w:val="none" w:sz="0" w:space="0" w:color="auto" w:frame="1"/>
          <w:shd w:val="clear" w:color="auto" w:fill="FFFFFF"/>
        </w:rPr>
        <w:t>0</w:t>
      </w:r>
      <w:r>
        <w:rPr>
          <w:rFonts w:ascii="Georgia" w:hAnsi="Georgia"/>
          <w:color w:val="242729"/>
          <w:sz w:val="23"/>
          <w:szCs w:val="23"/>
          <w:shd w:val="clear" w:color="auto" w:fill="FFFFFF"/>
        </w:rPr>
        <w:t> are holes, but if you reduce the fraction to lowest terms, in some cases you get something where the numerator is not </w:t>
      </w:r>
      <w:r>
        <w:rPr>
          <w:rStyle w:val="mn"/>
          <w:rFonts w:ascii="MathJax_Main" w:hAnsi="MathJax_Main"/>
          <w:color w:val="242729"/>
          <w:sz w:val="26"/>
          <w:szCs w:val="26"/>
          <w:bdr w:val="none" w:sz="0" w:space="0" w:color="auto" w:frame="1"/>
          <w:shd w:val="clear" w:color="auto" w:fill="FFFFFF"/>
        </w:rPr>
        <w:t>0</w:t>
      </w:r>
      <w:r>
        <w:rPr>
          <w:rFonts w:ascii="Georgia" w:hAnsi="Georgia"/>
          <w:color w:val="242729"/>
          <w:sz w:val="23"/>
          <w:szCs w:val="23"/>
          <w:shd w:val="clear" w:color="auto" w:fill="FFFFFF"/>
        </w:rPr>
        <w:t> and the denominator is, so it's a vertical asymptote rather than a hole.</w:t>
      </w:r>
    </w:p>
    <w:p w:rsidR="007E2915" w:rsidRDefault="007E2915">
      <w:r>
        <w:rPr>
          <w:rFonts w:ascii="Georgia" w:hAnsi="Georgia"/>
          <w:color w:val="242729"/>
          <w:sz w:val="23"/>
          <w:szCs w:val="23"/>
          <w:shd w:val="clear" w:color="auto" w:fill="FFFFFF"/>
        </w:rPr>
        <w:t>Both the numerator and the denominator being zero is a necessary but not sufficient condition for a hole; see for example the function </w:t>
      </w:r>
      <w:r>
        <w:rPr>
          <w:rStyle w:val="mi"/>
          <w:rFonts w:ascii="MathJax_Math-italic" w:hAnsi="MathJax_Math-italic"/>
          <w:color w:val="242729"/>
          <w:sz w:val="26"/>
          <w:szCs w:val="26"/>
          <w:bdr w:val="none" w:sz="0" w:space="0" w:color="auto" w:frame="1"/>
          <w:shd w:val="clear" w:color="auto" w:fill="FFFFFF"/>
        </w:rPr>
        <w:t>f</w:t>
      </w:r>
      <w:r>
        <w:rPr>
          <w:rStyle w:val="mo"/>
          <w:rFonts w:ascii="MathJax_Main" w:hAnsi="MathJax_Main"/>
          <w:color w:val="242729"/>
          <w:sz w:val="26"/>
          <w:szCs w:val="26"/>
          <w:bdr w:val="none" w:sz="0" w:space="0" w:color="auto" w:frame="1"/>
          <w:shd w:val="clear" w:color="auto" w:fill="FFFFFF"/>
        </w:rPr>
        <w:t>(</w:t>
      </w:r>
      <w:r>
        <w:rPr>
          <w:rStyle w:val="mi"/>
          <w:rFonts w:ascii="MathJax_Math-italic" w:hAnsi="MathJax_Math-italic"/>
          <w:color w:val="242729"/>
          <w:sz w:val="26"/>
          <w:szCs w:val="26"/>
          <w:bdr w:val="none" w:sz="0" w:space="0" w:color="auto" w:frame="1"/>
          <w:shd w:val="clear" w:color="auto" w:fill="FFFFFF"/>
        </w:rPr>
        <w:t>x</w:t>
      </w:r>
      <w:proofErr w:type="gramStart"/>
      <w:r>
        <w:rPr>
          <w:rStyle w:val="mo"/>
          <w:rFonts w:ascii="MathJax_Main" w:hAnsi="MathJax_Main"/>
          <w:color w:val="242729"/>
          <w:sz w:val="26"/>
          <w:szCs w:val="26"/>
          <w:bdr w:val="none" w:sz="0" w:space="0" w:color="auto" w:frame="1"/>
          <w:shd w:val="clear" w:color="auto" w:fill="FFFFFF"/>
        </w:rPr>
        <w:t>)=</w:t>
      </w:r>
      <w:proofErr w:type="gramEnd"/>
      <w:r>
        <w:rPr>
          <w:rStyle w:val="mi"/>
          <w:rFonts w:ascii="MathJax_Math-italic" w:hAnsi="MathJax_Math-italic"/>
          <w:color w:val="242729"/>
          <w:sz w:val="18"/>
          <w:szCs w:val="18"/>
          <w:bdr w:val="none" w:sz="0" w:space="0" w:color="auto" w:frame="1"/>
          <w:shd w:val="clear" w:color="auto" w:fill="FFFFFF"/>
        </w:rPr>
        <w:t>x</w:t>
      </w:r>
      <w:r>
        <w:rPr>
          <w:rStyle w:val="mo"/>
          <w:rFonts w:ascii="MathJax_Main" w:hAnsi="MathJax_Main"/>
          <w:color w:val="242729"/>
          <w:sz w:val="18"/>
          <w:szCs w:val="18"/>
          <w:bdr w:val="none" w:sz="0" w:space="0" w:color="auto" w:frame="1"/>
          <w:shd w:val="clear" w:color="auto" w:fill="FFFFFF"/>
        </w:rPr>
        <w:t>+</w:t>
      </w:r>
      <w:r>
        <w:rPr>
          <w:rStyle w:val="mn"/>
          <w:rFonts w:ascii="MathJax_Main" w:hAnsi="MathJax_Main"/>
          <w:color w:val="242729"/>
          <w:sz w:val="18"/>
          <w:szCs w:val="18"/>
          <w:bdr w:val="none" w:sz="0" w:space="0" w:color="auto" w:frame="1"/>
          <w:shd w:val="clear" w:color="auto" w:fill="FFFFFF"/>
        </w:rPr>
        <w:t>1/(</w:t>
      </w:r>
      <w:r>
        <w:rPr>
          <w:rStyle w:val="mo"/>
          <w:rFonts w:ascii="MathJax_Main" w:hAnsi="MathJax_Main"/>
          <w:color w:val="242729"/>
          <w:sz w:val="18"/>
          <w:szCs w:val="18"/>
          <w:bdr w:val="none" w:sz="0" w:space="0" w:color="auto" w:frame="1"/>
          <w:shd w:val="clear" w:color="auto" w:fill="FFFFFF"/>
        </w:rPr>
        <w:t>(</w:t>
      </w:r>
      <w:r>
        <w:rPr>
          <w:rStyle w:val="mi"/>
          <w:rFonts w:ascii="MathJax_Math-italic" w:hAnsi="MathJax_Math-italic"/>
          <w:color w:val="242729"/>
          <w:sz w:val="18"/>
          <w:szCs w:val="18"/>
          <w:bdr w:val="none" w:sz="0" w:space="0" w:color="auto" w:frame="1"/>
          <w:shd w:val="clear" w:color="auto" w:fill="FFFFFF"/>
        </w:rPr>
        <w:t>x</w:t>
      </w:r>
      <w:r>
        <w:rPr>
          <w:rStyle w:val="mo"/>
          <w:rFonts w:ascii="MathJax_Main" w:hAnsi="MathJax_Main"/>
          <w:color w:val="242729"/>
          <w:sz w:val="18"/>
          <w:szCs w:val="18"/>
          <w:bdr w:val="none" w:sz="0" w:space="0" w:color="auto" w:frame="1"/>
          <w:shd w:val="clear" w:color="auto" w:fill="FFFFFF"/>
        </w:rPr>
        <w:t>+</w:t>
      </w:r>
      <w:r>
        <w:rPr>
          <w:rStyle w:val="mn"/>
          <w:rFonts w:ascii="MathJax_Main" w:hAnsi="MathJax_Main"/>
          <w:color w:val="242729"/>
          <w:sz w:val="18"/>
          <w:szCs w:val="18"/>
          <w:bdr w:val="none" w:sz="0" w:space="0" w:color="auto" w:frame="1"/>
          <w:shd w:val="clear" w:color="auto" w:fill="FFFFFF"/>
        </w:rPr>
        <w:t>1</w:t>
      </w:r>
      <w:r>
        <w:rPr>
          <w:rStyle w:val="mo"/>
          <w:rFonts w:ascii="MathJax_Main" w:hAnsi="MathJax_Main"/>
          <w:color w:val="242729"/>
          <w:sz w:val="18"/>
          <w:szCs w:val="18"/>
          <w:bdr w:val="none" w:sz="0" w:space="0" w:color="auto" w:frame="1"/>
          <w:shd w:val="clear" w:color="auto" w:fill="FFFFFF"/>
        </w:rPr>
        <w:t>)</w:t>
      </w:r>
      <w:r w:rsidRPr="007E2915">
        <w:rPr>
          <w:rStyle w:val="mn"/>
          <w:rFonts w:ascii="MathJax_Main" w:hAnsi="MathJax_Main"/>
          <w:color w:val="242729"/>
          <w:sz w:val="24"/>
          <w:szCs w:val="24"/>
          <w:bdr w:val="none" w:sz="0" w:space="0" w:color="auto" w:frame="1"/>
          <w:shd w:val="clear" w:color="auto" w:fill="FFFFFF"/>
          <w:vertAlign w:val="superscript"/>
        </w:rPr>
        <w:t>2</w:t>
      </w:r>
      <w:r>
        <w:rPr>
          <w:rStyle w:val="mjxassistivemathml"/>
          <w:rFonts w:ascii="inherit" w:hAnsi="inherit"/>
          <w:color w:val="242729"/>
          <w:sz w:val="23"/>
          <w:szCs w:val="23"/>
          <w:bdr w:val="none" w:sz="0" w:space="0" w:color="auto" w:frame="1"/>
          <w:shd w:val="clear" w:color="auto" w:fill="FFFFFF"/>
        </w:rPr>
        <w:t xml:space="preserve">. </w:t>
      </w:r>
      <w:r>
        <w:rPr>
          <w:rFonts w:ascii="Georgia" w:hAnsi="Georgia"/>
          <w:color w:val="242729"/>
          <w:sz w:val="23"/>
          <w:szCs w:val="23"/>
          <w:shd w:val="clear" w:color="auto" w:fill="FFFFFF"/>
        </w:rPr>
        <w:t>The difference between a hole and a vertical asymptote is that the function doesn't become infinite at a hole. </w:t>
      </w:r>
    </w:p>
    <w:sectPr w:rsidR="007E2915" w:rsidSect="00DE14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thJax_Mai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thJax_Math-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7E2915"/>
    <w:rsid w:val="00184450"/>
    <w:rsid w:val="007E2915"/>
    <w:rsid w:val="00DE1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4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i">
    <w:name w:val="mi"/>
    <w:basedOn w:val="DefaultParagraphFont"/>
    <w:rsid w:val="007E2915"/>
  </w:style>
  <w:style w:type="character" w:customStyle="1" w:styleId="mjxassistivemathml">
    <w:name w:val="mjx_assistive_mathml"/>
    <w:basedOn w:val="DefaultParagraphFont"/>
    <w:rsid w:val="007E2915"/>
  </w:style>
  <w:style w:type="character" w:customStyle="1" w:styleId="mo">
    <w:name w:val="mo"/>
    <w:basedOn w:val="DefaultParagraphFont"/>
    <w:rsid w:val="007E2915"/>
  </w:style>
  <w:style w:type="character" w:customStyle="1" w:styleId="mn">
    <w:name w:val="mn"/>
    <w:basedOn w:val="DefaultParagraphFont"/>
    <w:rsid w:val="007E29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DAVID</cp:lastModifiedBy>
  <cp:revision>1</cp:revision>
  <dcterms:created xsi:type="dcterms:W3CDTF">2019-02-19T08:08:00Z</dcterms:created>
  <dcterms:modified xsi:type="dcterms:W3CDTF">2019-02-19T09:44:00Z</dcterms:modified>
</cp:coreProperties>
</file>